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99127" w14:textId="5729EF5D" w:rsidR="009943F6" w:rsidRPr="001F038B" w:rsidRDefault="009943F6" w:rsidP="00EF10D5">
      <w:pPr>
        <w:pStyle w:val="AMIAAuthors"/>
        <w:rPr>
          <w:sz w:val="28"/>
          <w:szCs w:val="28"/>
        </w:rPr>
      </w:pPr>
      <w:bookmarkStart w:id="0" w:name="_GoBack"/>
      <w:bookmarkEnd w:id="0"/>
      <w:r w:rsidRPr="001F038B">
        <w:rPr>
          <w:sz w:val="28"/>
          <w:szCs w:val="28"/>
        </w:rPr>
        <w:t xml:space="preserve">Leverage EMR to </w:t>
      </w:r>
      <w:r w:rsidR="009A1361" w:rsidRPr="001F038B">
        <w:rPr>
          <w:sz w:val="28"/>
          <w:szCs w:val="28"/>
        </w:rPr>
        <w:t>Change Practice Patterns and Streamline Non</w:t>
      </w:r>
      <w:r w:rsidR="004E7A8A">
        <w:rPr>
          <w:sz w:val="28"/>
          <w:szCs w:val="28"/>
        </w:rPr>
        <w:t>-</w:t>
      </w:r>
      <w:r w:rsidRPr="001F038B">
        <w:rPr>
          <w:sz w:val="28"/>
          <w:szCs w:val="28"/>
        </w:rPr>
        <w:t xml:space="preserve">EMR </w:t>
      </w:r>
      <w:r w:rsidR="002B0EB8">
        <w:rPr>
          <w:sz w:val="28"/>
          <w:szCs w:val="28"/>
        </w:rPr>
        <w:t>W</w:t>
      </w:r>
      <w:r w:rsidRPr="001F038B">
        <w:rPr>
          <w:sz w:val="28"/>
          <w:szCs w:val="28"/>
        </w:rPr>
        <w:t>orkflows</w:t>
      </w:r>
      <w:r w:rsidR="00770CD0" w:rsidRPr="001F038B">
        <w:rPr>
          <w:sz w:val="28"/>
          <w:szCs w:val="28"/>
        </w:rPr>
        <w:t xml:space="preserve"> </w:t>
      </w:r>
      <w:r w:rsidRPr="001F038B">
        <w:rPr>
          <w:sz w:val="28"/>
          <w:szCs w:val="28"/>
        </w:rPr>
        <w:t xml:space="preserve">- An </w:t>
      </w:r>
      <w:r w:rsidR="003B4DF5" w:rsidRPr="001F038B">
        <w:rPr>
          <w:sz w:val="28"/>
          <w:szCs w:val="28"/>
        </w:rPr>
        <w:t>Interfacility Transfer</w:t>
      </w:r>
      <w:r w:rsidRPr="001F038B">
        <w:rPr>
          <w:sz w:val="28"/>
          <w:szCs w:val="28"/>
        </w:rPr>
        <w:t xml:space="preserve"> </w:t>
      </w:r>
      <w:r w:rsidR="00770CD0" w:rsidRPr="001F038B">
        <w:rPr>
          <w:sz w:val="28"/>
          <w:szCs w:val="28"/>
        </w:rPr>
        <w:t xml:space="preserve">Process Improvement Effort with </w:t>
      </w:r>
      <w:r w:rsidR="009A1361">
        <w:rPr>
          <w:sz w:val="28"/>
          <w:szCs w:val="28"/>
        </w:rPr>
        <w:br/>
      </w:r>
      <w:r w:rsidR="00770CD0" w:rsidRPr="001F038B">
        <w:rPr>
          <w:sz w:val="28"/>
          <w:szCs w:val="28"/>
        </w:rPr>
        <w:t>Far</w:t>
      </w:r>
      <w:r w:rsidR="009A1361">
        <w:rPr>
          <w:sz w:val="28"/>
          <w:szCs w:val="28"/>
        </w:rPr>
        <w:t xml:space="preserve"> </w:t>
      </w:r>
      <w:r w:rsidR="00770CD0" w:rsidRPr="001F038B">
        <w:rPr>
          <w:sz w:val="28"/>
          <w:szCs w:val="28"/>
        </w:rPr>
        <w:t xml:space="preserve">Reaching Implications </w:t>
      </w:r>
    </w:p>
    <w:p w14:paraId="08649D7A" w14:textId="1ADE62CB" w:rsidR="00781CE1" w:rsidRPr="0081088E" w:rsidRDefault="00EF10D5" w:rsidP="00EF10D5">
      <w:pPr>
        <w:pStyle w:val="AMIAAuthors"/>
        <w:rPr>
          <w:szCs w:val="24"/>
        </w:rPr>
      </w:pPr>
      <w:r w:rsidRPr="0081088E">
        <w:rPr>
          <w:szCs w:val="24"/>
        </w:rPr>
        <w:t>Einas</w:t>
      </w:r>
      <w:r w:rsidR="000876BD" w:rsidRPr="0081088E">
        <w:rPr>
          <w:szCs w:val="24"/>
        </w:rPr>
        <w:t xml:space="preserve"> </w:t>
      </w:r>
      <w:r w:rsidRPr="0081088E">
        <w:rPr>
          <w:szCs w:val="24"/>
        </w:rPr>
        <w:t>M</w:t>
      </w:r>
      <w:r w:rsidR="000876BD" w:rsidRPr="0081088E">
        <w:rPr>
          <w:szCs w:val="24"/>
        </w:rPr>
        <w:t xml:space="preserve">. </w:t>
      </w:r>
      <w:proofErr w:type="spellStart"/>
      <w:r w:rsidRPr="0081088E">
        <w:rPr>
          <w:szCs w:val="24"/>
        </w:rPr>
        <w:t>Batarseh</w:t>
      </w:r>
      <w:proofErr w:type="spellEnd"/>
      <w:r w:rsidR="000876BD" w:rsidRPr="0081088E">
        <w:rPr>
          <w:szCs w:val="24"/>
        </w:rPr>
        <w:t xml:space="preserve">, </w:t>
      </w:r>
      <w:r w:rsidRPr="0081088E">
        <w:rPr>
          <w:szCs w:val="24"/>
        </w:rPr>
        <w:t>MD</w:t>
      </w:r>
      <w:r w:rsidR="000876BD" w:rsidRPr="0081088E">
        <w:rPr>
          <w:szCs w:val="24"/>
          <w:vertAlign w:val="superscript"/>
        </w:rPr>
        <w:t>1</w:t>
      </w:r>
      <w:r w:rsidR="009943F6" w:rsidRPr="0081088E">
        <w:rPr>
          <w:szCs w:val="24"/>
          <w:vertAlign w:val="superscript"/>
        </w:rPr>
        <w:t>,2</w:t>
      </w:r>
      <w:r w:rsidR="000876BD" w:rsidRPr="0081088E">
        <w:rPr>
          <w:szCs w:val="24"/>
        </w:rPr>
        <w:t>,</w:t>
      </w:r>
      <w:r w:rsidRPr="0081088E">
        <w:rPr>
          <w:szCs w:val="24"/>
        </w:rPr>
        <w:t xml:space="preserve"> </w:t>
      </w:r>
      <w:proofErr w:type="spellStart"/>
      <w:r w:rsidRPr="0081088E">
        <w:rPr>
          <w:szCs w:val="24"/>
        </w:rPr>
        <w:t>Sashank</w:t>
      </w:r>
      <w:proofErr w:type="spellEnd"/>
      <w:r w:rsidRPr="0081088E">
        <w:rPr>
          <w:szCs w:val="24"/>
        </w:rPr>
        <w:t xml:space="preserve"> Kaushik, MD, MBA, FAMIA</w:t>
      </w:r>
      <w:r w:rsidRPr="0081088E">
        <w:rPr>
          <w:szCs w:val="24"/>
          <w:vertAlign w:val="superscript"/>
        </w:rPr>
        <w:t>1</w:t>
      </w:r>
      <w:r w:rsidR="009943F6" w:rsidRPr="0081088E">
        <w:rPr>
          <w:szCs w:val="24"/>
          <w:vertAlign w:val="superscript"/>
        </w:rPr>
        <w:t>,2</w:t>
      </w:r>
    </w:p>
    <w:p w14:paraId="16FA10B6" w14:textId="497C7460" w:rsidR="00781CE1" w:rsidRPr="0081088E" w:rsidRDefault="000876BD" w:rsidP="00EF10D5">
      <w:pPr>
        <w:pStyle w:val="AMIAAffiliations"/>
        <w:rPr>
          <w:b w:val="0"/>
          <w:bCs/>
          <w:szCs w:val="24"/>
        </w:rPr>
      </w:pPr>
      <w:r w:rsidRPr="0081088E">
        <w:rPr>
          <w:b w:val="0"/>
          <w:bCs/>
          <w:szCs w:val="24"/>
          <w:vertAlign w:val="superscript"/>
        </w:rPr>
        <w:t>1</w:t>
      </w:r>
      <w:r w:rsidR="00EF10D5" w:rsidRPr="0081088E">
        <w:rPr>
          <w:b w:val="0"/>
          <w:bCs/>
          <w:szCs w:val="24"/>
        </w:rPr>
        <w:t>VA Western New York Healthcare System</w:t>
      </w:r>
      <w:r w:rsidRPr="0081088E">
        <w:rPr>
          <w:b w:val="0"/>
          <w:bCs/>
          <w:szCs w:val="24"/>
        </w:rPr>
        <w:t xml:space="preserve">, </w:t>
      </w:r>
      <w:r w:rsidR="00EF10D5" w:rsidRPr="0081088E">
        <w:rPr>
          <w:b w:val="0"/>
          <w:bCs/>
          <w:szCs w:val="24"/>
        </w:rPr>
        <w:t>Buffalo</w:t>
      </w:r>
      <w:r w:rsidRPr="0081088E">
        <w:rPr>
          <w:b w:val="0"/>
          <w:bCs/>
          <w:szCs w:val="24"/>
        </w:rPr>
        <w:t xml:space="preserve">, </w:t>
      </w:r>
      <w:r w:rsidR="00EF10D5" w:rsidRPr="0081088E">
        <w:rPr>
          <w:b w:val="0"/>
          <w:bCs/>
          <w:szCs w:val="24"/>
        </w:rPr>
        <w:t>NY</w:t>
      </w:r>
      <w:r w:rsidR="009943F6" w:rsidRPr="0081088E">
        <w:rPr>
          <w:b w:val="0"/>
          <w:bCs/>
          <w:szCs w:val="24"/>
        </w:rPr>
        <w:t xml:space="preserve">; </w:t>
      </w:r>
      <w:r w:rsidR="009943F6" w:rsidRPr="0081088E">
        <w:rPr>
          <w:b w:val="0"/>
          <w:bCs/>
          <w:szCs w:val="24"/>
          <w:vertAlign w:val="superscript"/>
        </w:rPr>
        <w:t>2</w:t>
      </w:r>
      <w:r w:rsidR="009943F6" w:rsidRPr="0081088E">
        <w:rPr>
          <w:b w:val="0"/>
          <w:bCs/>
          <w:szCs w:val="24"/>
        </w:rPr>
        <w:t>University at Buffalo, SUNY</w:t>
      </w:r>
      <w:r w:rsidR="00E94709" w:rsidRPr="0081088E">
        <w:rPr>
          <w:b w:val="0"/>
          <w:bCs/>
          <w:szCs w:val="24"/>
        </w:rPr>
        <w:t>, NY</w:t>
      </w:r>
    </w:p>
    <w:p w14:paraId="37C610EA" w14:textId="77777777" w:rsidR="00781CE1" w:rsidRPr="00770CD0" w:rsidRDefault="000876BD" w:rsidP="00ED0387">
      <w:pPr>
        <w:pStyle w:val="AMIAHeading"/>
        <w:spacing w:before="0" w:after="0"/>
      </w:pPr>
      <w:r w:rsidRPr="00770CD0">
        <w:t>Introduction</w:t>
      </w:r>
    </w:p>
    <w:p w14:paraId="54641284" w14:textId="713B19ED" w:rsidR="007D56DF" w:rsidRPr="00770CD0" w:rsidRDefault="009943F6" w:rsidP="00ED0387">
      <w:pPr>
        <w:pStyle w:val="AMIABodyText"/>
        <w:spacing w:after="0"/>
      </w:pPr>
      <w:r w:rsidRPr="00770CD0">
        <w:t xml:space="preserve">Interfacility transfer </w:t>
      </w:r>
      <w:r w:rsidR="00BD5CD0" w:rsidRPr="00770CD0">
        <w:t xml:space="preserve">(IFT) </w:t>
      </w:r>
      <w:r w:rsidR="00FD4126">
        <w:t>is</w:t>
      </w:r>
      <w:r w:rsidR="00FD4126" w:rsidRPr="00770CD0">
        <w:t xml:space="preserve"> </w:t>
      </w:r>
      <w:r w:rsidRPr="00770CD0">
        <w:t>an important strategy for improving access to specialized care</w:t>
      </w:r>
      <w:r w:rsidR="004E7A8A">
        <w:t xml:space="preserve"> </w:t>
      </w:r>
      <w:r w:rsidRPr="00770CD0">
        <w:t xml:space="preserve">for patients with complex clinical problems. </w:t>
      </w:r>
      <w:r w:rsidR="00FD4126">
        <w:t>IFTs</w:t>
      </w:r>
      <w:r w:rsidR="00FD4126" w:rsidRPr="00770CD0">
        <w:t xml:space="preserve"> </w:t>
      </w:r>
      <w:r w:rsidRPr="00770CD0">
        <w:t xml:space="preserve">account for </w:t>
      </w:r>
      <w:r w:rsidR="0053428D" w:rsidRPr="00770CD0">
        <w:t xml:space="preserve">roughly </w:t>
      </w:r>
      <w:r w:rsidRPr="00770CD0">
        <w:t xml:space="preserve">3.5% of all hospital inpatient admissions </w:t>
      </w:r>
      <w:r w:rsidR="0053428D" w:rsidRPr="00770CD0">
        <w:t xml:space="preserve">annually </w:t>
      </w:r>
      <w:r w:rsidRPr="00770CD0">
        <w:t>(1.5 million admissions) nationwide</w:t>
      </w:r>
      <w:r w:rsidR="003B4DF5" w:rsidRPr="00770CD0">
        <w:t xml:space="preserve">, </w:t>
      </w:r>
      <w:r w:rsidR="006A46E5" w:rsidRPr="00770CD0">
        <w:t>are</w:t>
      </w:r>
      <w:r w:rsidR="00BD5CD0" w:rsidRPr="00770CD0">
        <w:t xml:space="preserve"> inherently complex </w:t>
      </w:r>
      <w:r w:rsidR="006A46E5" w:rsidRPr="00770CD0">
        <w:t xml:space="preserve">to </w:t>
      </w:r>
      <w:r w:rsidR="00BD5CD0" w:rsidRPr="00770CD0">
        <w:t>coordinat</w:t>
      </w:r>
      <w:r w:rsidR="006A46E5" w:rsidRPr="00770CD0">
        <w:t>e</w:t>
      </w:r>
      <w:r w:rsidR="00BD5CD0" w:rsidRPr="00770CD0">
        <w:t xml:space="preserve"> </w:t>
      </w:r>
      <w:r w:rsidR="006A46E5" w:rsidRPr="00770CD0">
        <w:t xml:space="preserve">and are recognized to be associated with </w:t>
      </w:r>
      <w:r w:rsidR="00BD5CD0" w:rsidRPr="00770CD0">
        <w:t>increased risk of adverse events and mortalit</w:t>
      </w:r>
      <w:r w:rsidR="003161DA">
        <w:t>y.</w:t>
      </w:r>
      <w:r w:rsidR="00BD5CD0" w:rsidRPr="003161DA">
        <w:rPr>
          <w:rStyle w:val="AMIASuperscriptChar"/>
          <w:szCs w:val="16"/>
        </w:rPr>
        <w:fldChar w:fldCharType="begin">
          <w:fldData xml:space="preserve">PEVuZE5vdGU+PENpdGU+PEF1dGhvcj5NeWVyczwvQXV0aG9yPjxZZWFyPjIwMjE8L1llYXI+PFJl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</w:fldData>
        </w:fldChar>
      </w:r>
      <w:r w:rsidR="003161DA">
        <w:rPr>
          <w:rStyle w:val="AMIASuperscriptChar"/>
          <w:szCs w:val="16"/>
        </w:rPr>
        <w:instrText xml:space="preserve"> ADDIN EN.CITE </w:instrText>
      </w:r>
      <w:r w:rsidR="003161DA">
        <w:rPr>
          <w:rStyle w:val="AMIASuperscriptChar"/>
          <w:szCs w:val="16"/>
        </w:rPr>
        <w:fldChar w:fldCharType="begin">
          <w:fldData xml:space="preserve">PEVuZE5vdGU+PENpdGU+PEF1dGhvcj5NeWVyczwvQXV0aG9yPjxZZWFyPjIwMjE8L1llYXI+PFJl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</w:fldData>
        </w:fldChar>
      </w:r>
      <w:r w:rsidR="003161DA">
        <w:rPr>
          <w:rStyle w:val="AMIASuperscriptChar"/>
          <w:szCs w:val="16"/>
        </w:rPr>
        <w:instrText xml:space="preserve"> ADDIN EN.CITE.DATA </w:instrText>
      </w:r>
      <w:r w:rsidR="003161DA">
        <w:rPr>
          <w:rStyle w:val="AMIASuperscriptChar"/>
          <w:szCs w:val="16"/>
        </w:rPr>
      </w:r>
      <w:r w:rsidR="003161DA">
        <w:rPr>
          <w:rStyle w:val="AMIASuperscriptChar"/>
          <w:szCs w:val="16"/>
        </w:rPr>
        <w:fldChar w:fldCharType="end"/>
      </w:r>
      <w:r w:rsidR="00BD5CD0" w:rsidRPr="003161DA">
        <w:rPr>
          <w:rStyle w:val="AMIASuperscriptChar"/>
          <w:szCs w:val="16"/>
        </w:rPr>
      </w:r>
      <w:r w:rsidR="00BD5CD0" w:rsidRPr="003161DA">
        <w:rPr>
          <w:rStyle w:val="AMIASuperscriptChar"/>
          <w:szCs w:val="16"/>
        </w:rPr>
        <w:fldChar w:fldCharType="separate"/>
      </w:r>
      <w:r w:rsidR="003161DA">
        <w:rPr>
          <w:rStyle w:val="AMIASuperscriptChar"/>
          <w:noProof/>
          <w:szCs w:val="16"/>
        </w:rPr>
        <w:t>(1, 2)</w:t>
      </w:r>
      <w:r w:rsidR="00BD5CD0" w:rsidRPr="003161DA">
        <w:rPr>
          <w:rStyle w:val="AMIASuperscriptChar"/>
          <w:szCs w:val="16"/>
        </w:rPr>
        <w:fldChar w:fldCharType="end"/>
      </w:r>
      <w:r w:rsidRPr="00770CD0">
        <w:t xml:space="preserve"> </w:t>
      </w:r>
      <w:r w:rsidR="00E94709" w:rsidRPr="00770CD0">
        <w:t xml:space="preserve">Early </w:t>
      </w:r>
      <w:r w:rsidR="006160E8" w:rsidRPr="00770CD0">
        <w:t xml:space="preserve">in the </w:t>
      </w:r>
      <w:r w:rsidR="00E94709" w:rsidRPr="00770CD0">
        <w:t xml:space="preserve">process, after </w:t>
      </w:r>
      <w:r w:rsidR="006160E8" w:rsidRPr="00770CD0">
        <w:t xml:space="preserve">the </w:t>
      </w:r>
      <w:r w:rsidR="00E94709" w:rsidRPr="00770CD0">
        <w:t xml:space="preserve">decision to transfer is made, a written and informed consent from patient or </w:t>
      </w:r>
      <w:r w:rsidR="006160E8" w:rsidRPr="00770CD0">
        <w:t xml:space="preserve">healthcare proxy, </w:t>
      </w:r>
      <w:r w:rsidR="00725011" w:rsidRPr="00770CD0">
        <w:t xml:space="preserve">a provider certification of </w:t>
      </w:r>
      <w:r w:rsidR="00E94709" w:rsidRPr="00770CD0">
        <w:t>reason</w:t>
      </w:r>
      <w:r w:rsidR="006160E8" w:rsidRPr="00770CD0">
        <w:t>(s)</w:t>
      </w:r>
      <w:r w:rsidR="00E94709" w:rsidRPr="00770CD0">
        <w:t xml:space="preserve"> </w:t>
      </w:r>
      <w:r w:rsidR="00725011" w:rsidRPr="00770CD0">
        <w:t>for</w:t>
      </w:r>
      <w:r w:rsidR="00E94709" w:rsidRPr="00770CD0">
        <w:t xml:space="preserve"> transfer</w:t>
      </w:r>
      <w:r w:rsidR="006160E8" w:rsidRPr="00770CD0">
        <w:t xml:space="preserve">, and documentation evidence of warm handoff </w:t>
      </w:r>
      <w:r w:rsidR="00E94709" w:rsidRPr="00770CD0">
        <w:t xml:space="preserve">is </w:t>
      </w:r>
      <w:r w:rsidR="00725011" w:rsidRPr="00770CD0">
        <w:t>mandatory before</w:t>
      </w:r>
      <w:r w:rsidR="00E94709" w:rsidRPr="00770CD0">
        <w:t xml:space="preserve"> the transfer</w:t>
      </w:r>
      <w:r w:rsidR="006160E8" w:rsidRPr="00770CD0">
        <w:t xml:space="preserve"> can proceed</w:t>
      </w:r>
      <w:r w:rsidR="00E94709" w:rsidRPr="00770CD0">
        <w:t>.</w:t>
      </w:r>
      <w:r w:rsidR="003161DA" w:rsidRPr="003161DA">
        <w:rPr>
          <w:sz w:val="16"/>
          <w:szCs w:val="16"/>
          <w:vertAlign w:val="superscript"/>
        </w:rPr>
        <w:fldChar w:fldCharType="begin"/>
      </w:r>
      <w:r w:rsidR="003161DA">
        <w:rPr>
          <w:sz w:val="16"/>
          <w:szCs w:val="16"/>
          <w:vertAlign w:val="superscript"/>
        </w:rPr>
        <w:instrText xml:space="preserve"> ADDIN EN.CITE &lt;EndNote&gt;&lt;Cite&gt;&lt;Author&gt;VHA Directive 1094 Inter-facility Transfer policy: Date of Issue: Jan 20&lt;/Author&gt;&lt;RecNum&gt;76&lt;/RecNum&gt;&lt;DisplayText&gt;(3)&lt;/DisplayText&gt;&lt;record&gt;&lt;rec-number&gt;76&lt;/rec-number&gt;&lt;foreign-keys&gt;&lt;key app="EN" db-id="ef9zxtazktxxtcezxdkx299mwxxxepszzs5x" timestamp="1646868337"&gt;76&lt;/key&gt;&lt;/foreign-keys&gt;&lt;ref-type name="Journal Article"&gt;17&lt;/ref-type&gt;&lt;contributors&gt;&lt;authors&gt;&lt;author&gt;VHA Directive 1094 Inter-facility Transfer policy: Date of Issue: Jan 20, 2022&lt;/author&gt;&lt;/authors&gt;&lt;/contributors&gt;&lt;titles&gt;&lt;/titles&gt;&lt;dates&gt;&lt;/dates&gt;&lt;urls&gt;&lt;/urls&gt;&lt;/record&gt;&lt;/Cite&gt;&lt;/EndNote&gt;</w:instrText>
      </w:r>
      <w:r w:rsidR="003161DA" w:rsidRPr="003161DA">
        <w:rPr>
          <w:sz w:val="16"/>
          <w:szCs w:val="16"/>
          <w:vertAlign w:val="superscript"/>
        </w:rPr>
        <w:fldChar w:fldCharType="separate"/>
      </w:r>
      <w:r w:rsidR="003161DA">
        <w:rPr>
          <w:noProof/>
          <w:sz w:val="16"/>
          <w:szCs w:val="16"/>
          <w:vertAlign w:val="superscript"/>
        </w:rPr>
        <w:t>(3)</w:t>
      </w:r>
      <w:r w:rsidR="003161DA" w:rsidRPr="003161DA">
        <w:rPr>
          <w:sz w:val="16"/>
          <w:szCs w:val="16"/>
          <w:vertAlign w:val="superscript"/>
        </w:rPr>
        <w:fldChar w:fldCharType="end"/>
      </w:r>
      <w:r w:rsidR="00E94709" w:rsidRPr="00770CD0">
        <w:t xml:space="preserve"> </w:t>
      </w:r>
      <w:r w:rsidR="00725011" w:rsidRPr="00770CD0">
        <w:t>Based on anecdotal reports of care delay,</w:t>
      </w:r>
      <w:r w:rsidR="00FD4126">
        <w:t xml:space="preserve"> </w:t>
      </w:r>
      <w:r w:rsidR="006160E8" w:rsidRPr="00770CD0">
        <w:t xml:space="preserve">we decided to </w:t>
      </w:r>
      <w:r w:rsidR="00725011" w:rsidRPr="00770CD0">
        <w:t>evaluate</w:t>
      </w:r>
      <w:r w:rsidR="00E907B4" w:rsidRPr="00770CD0">
        <w:t xml:space="preserve"> </w:t>
      </w:r>
      <w:r w:rsidR="00FD4126" w:rsidRPr="00770CD0">
        <w:t xml:space="preserve">this segment of IFT </w:t>
      </w:r>
      <w:r w:rsidR="006A46E5" w:rsidRPr="00770CD0">
        <w:t>as an Informatics</w:t>
      </w:r>
      <w:r w:rsidR="00FD4126">
        <w:t>-</w:t>
      </w:r>
      <w:r w:rsidR="006A46E5" w:rsidRPr="00770CD0">
        <w:t>focused High Reliability Organization project</w:t>
      </w:r>
      <w:r w:rsidR="00725011" w:rsidRPr="00770CD0">
        <w:t xml:space="preserve">. </w:t>
      </w:r>
    </w:p>
    <w:p w14:paraId="513F0F5D" w14:textId="357B6F17" w:rsidR="007D56DF" w:rsidRPr="00770CD0" w:rsidRDefault="007D56DF" w:rsidP="007D56DF">
      <w:pPr>
        <w:pStyle w:val="AMIAHeading"/>
        <w:spacing w:before="0" w:after="0"/>
      </w:pPr>
      <w:r w:rsidRPr="00770CD0">
        <w:t>Methods:</w:t>
      </w:r>
    </w:p>
    <w:p w14:paraId="7DA4968E" w14:textId="1933772E" w:rsidR="00064A7D" w:rsidRPr="00770CD0" w:rsidRDefault="00A32B73" w:rsidP="00064A7D">
      <w:pPr>
        <w:pStyle w:val="AMIABodyText"/>
        <w:tabs>
          <w:tab w:val="left" w:pos="9360"/>
        </w:tabs>
      </w:pPr>
      <w:r w:rsidRPr="00770CD0">
        <w:t xml:space="preserve">Multidisciplinary QI-team performed root cause analysis and investigated the impact of EHR navigational complexity on time to complete required steps and end-user usability barriers. We used </w:t>
      </w:r>
      <w:r w:rsidR="00421731" w:rsidRPr="00770CD0">
        <w:t xml:space="preserve">LEAN </w:t>
      </w:r>
      <w:r w:rsidRPr="00770CD0">
        <w:t>method</w:t>
      </w:r>
      <w:r w:rsidR="00421731" w:rsidRPr="00770CD0">
        <w:t>ology</w:t>
      </w:r>
      <w:r w:rsidRPr="00770CD0">
        <w:t xml:space="preserve">, </w:t>
      </w:r>
      <w:r w:rsidR="003A5AD2" w:rsidRPr="00770CD0">
        <w:t xml:space="preserve">PDSA, </w:t>
      </w:r>
      <w:r w:rsidRPr="00770CD0">
        <w:t xml:space="preserve">stakeholder analysis, and process flow </w:t>
      </w:r>
      <w:r w:rsidR="00421731" w:rsidRPr="00770CD0">
        <w:t>mapping</w:t>
      </w:r>
      <w:r w:rsidRPr="00770CD0">
        <w:t xml:space="preserve">. The outcome measure was the time in seconds needed to locate </w:t>
      </w:r>
      <w:r w:rsidR="00421731" w:rsidRPr="00770CD0">
        <w:t xml:space="preserve">correct orders, </w:t>
      </w:r>
      <w:r w:rsidR="003161DA" w:rsidRPr="00770CD0">
        <w:t>consults,</w:t>
      </w:r>
      <w:r w:rsidR="00421731" w:rsidRPr="00770CD0">
        <w:t xml:space="preserve"> and notes </w:t>
      </w:r>
      <w:r w:rsidR="00FD4126">
        <w:t xml:space="preserve">in </w:t>
      </w:r>
      <w:r w:rsidRPr="00770CD0">
        <w:t xml:space="preserve">the EHR. Primary PDSA cycles: 1) Identify and eliminate redundant forms </w:t>
      </w:r>
      <w:r w:rsidR="006A46E5" w:rsidRPr="00770CD0">
        <w:t>and</w:t>
      </w:r>
      <w:r w:rsidRPr="00770CD0">
        <w:t xml:space="preserve"> consults; 2) A. Create a master list of </w:t>
      </w:r>
      <w:r w:rsidR="00421731" w:rsidRPr="00770CD0">
        <w:t>required</w:t>
      </w:r>
      <w:r w:rsidRPr="00770CD0">
        <w:t xml:space="preserve"> </w:t>
      </w:r>
      <w:r w:rsidR="00421731" w:rsidRPr="00770CD0">
        <w:t>orderables</w:t>
      </w:r>
      <w:r w:rsidRPr="00770CD0">
        <w:t xml:space="preserve">; B. </w:t>
      </w:r>
      <w:r w:rsidR="003A5AD2" w:rsidRPr="00770CD0">
        <w:t>Simplify</w:t>
      </w:r>
      <w:r w:rsidRPr="00770CD0">
        <w:t xml:space="preserve"> and include instructions within the EHR menu; 3) Add the discharge order to the already created orders-set; 4) A. Use human factor engineering to enhance the clarity of instructions; B. Include commonly used transfer center phone numbers to the menu. The end-user process was audited and documented before and after implementation</w:t>
      </w:r>
      <w:r w:rsidR="00064A7D" w:rsidRPr="00770CD0">
        <w:t>. </w:t>
      </w:r>
    </w:p>
    <w:p w14:paraId="02854E19" w14:textId="30674198" w:rsidR="00770CD0" w:rsidRPr="00770CD0" w:rsidRDefault="000A118A" w:rsidP="00FD4126">
      <w:pPr>
        <w:pStyle w:val="AMIABodyText"/>
        <w:spacing w:after="0"/>
      </w:pPr>
      <w:r w:rsidRPr="00770CD0">
        <w:rPr>
          <w:b/>
          <w:bCs/>
        </w:rPr>
        <w:t>Results:</w:t>
      </w:r>
      <w:r w:rsidRPr="00B85A28">
        <w:rPr>
          <w:bCs/>
        </w:rPr>
        <w:t xml:space="preserve"> </w:t>
      </w:r>
      <w:r w:rsidR="00FD4126" w:rsidRPr="00B85A28">
        <w:rPr>
          <w:bCs/>
        </w:rPr>
        <w:t xml:space="preserve">The estimated cumulative time saved from eliminating nonessential consult and notes was 21 hours. </w:t>
      </w:r>
    </w:p>
    <w:p w14:paraId="10B38A3E" w14:textId="011058CB" w:rsidR="00FD4126" w:rsidRDefault="00FD4126" w:rsidP="001F038B">
      <w:pPr>
        <w:pStyle w:val="AMIABodyText"/>
        <w:spacing w:after="0"/>
        <w:rPr>
          <w:bCs/>
        </w:rPr>
      </w:pPr>
      <w:r w:rsidRPr="00770CD0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01E4FA4" wp14:editId="050EC175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4823460" cy="2252345"/>
            <wp:effectExtent l="0" t="0" r="254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38B" w:rsidRPr="001F038B">
        <w:rPr>
          <w:bCs/>
        </w:rPr>
        <w:t xml:space="preserve"> </w:t>
      </w:r>
    </w:p>
    <w:p w14:paraId="2A3F4B58" w14:textId="3A99183A" w:rsidR="00FD4126" w:rsidRDefault="00FD4126" w:rsidP="009A1361">
      <w:pPr>
        <w:pStyle w:val="AMIABodyText"/>
        <w:spacing w:after="0"/>
        <w:jc w:val="left"/>
        <w:rPr>
          <w:b/>
          <w:bCs/>
        </w:rPr>
      </w:pPr>
      <w:r w:rsidRPr="00194FFA">
        <w:rPr>
          <w:b/>
        </w:rPr>
        <w:t>Figure 1.</w:t>
      </w:r>
      <w:r w:rsidRPr="00194FFA">
        <w:rPr>
          <w:bCs/>
        </w:rPr>
        <w:t xml:space="preserve"> Differences</w:t>
      </w:r>
      <w:r w:rsidRPr="00770CD0">
        <w:t xml:space="preserve"> Between Pre and Post Intervention states</w:t>
      </w:r>
      <w:r>
        <w:rPr>
          <w:b/>
          <w:bCs/>
        </w:rPr>
        <w:t>.</w:t>
      </w:r>
    </w:p>
    <w:p w14:paraId="4F47CE13" w14:textId="593A2A3C" w:rsidR="001F038B" w:rsidRPr="00770CD0" w:rsidRDefault="001F038B" w:rsidP="001F038B">
      <w:pPr>
        <w:pStyle w:val="AMIABodyText"/>
        <w:spacing w:after="0"/>
        <w:rPr>
          <w:b/>
          <w:bCs/>
        </w:rPr>
      </w:pPr>
    </w:p>
    <w:p w14:paraId="3178F8E7" w14:textId="77777777" w:rsidR="001F038B" w:rsidRPr="001F038B" w:rsidRDefault="001F038B" w:rsidP="001F038B">
      <w:pPr>
        <w:pStyle w:val="AMIABodyText"/>
        <w:spacing w:after="0"/>
      </w:pPr>
    </w:p>
    <w:p w14:paraId="6F3061DD" w14:textId="77777777" w:rsidR="001F038B" w:rsidRDefault="001F038B" w:rsidP="001F038B">
      <w:pPr>
        <w:pStyle w:val="AMIABodyText"/>
        <w:spacing w:after="0"/>
        <w:rPr>
          <w:b/>
          <w:bCs/>
        </w:rPr>
      </w:pPr>
    </w:p>
    <w:p w14:paraId="3FBF12C3" w14:textId="77777777" w:rsidR="001F038B" w:rsidRDefault="001F038B" w:rsidP="001F038B">
      <w:pPr>
        <w:pStyle w:val="AMIABodyText"/>
        <w:spacing w:after="0"/>
        <w:rPr>
          <w:b/>
          <w:bCs/>
        </w:rPr>
      </w:pPr>
    </w:p>
    <w:p w14:paraId="19A07092" w14:textId="77777777" w:rsidR="001F038B" w:rsidRDefault="001F038B" w:rsidP="001F038B">
      <w:pPr>
        <w:pStyle w:val="AMIABodyText"/>
        <w:spacing w:after="0"/>
        <w:rPr>
          <w:b/>
          <w:bCs/>
        </w:rPr>
      </w:pPr>
    </w:p>
    <w:p w14:paraId="05EE6AAC" w14:textId="77777777" w:rsidR="001F038B" w:rsidRDefault="001F038B" w:rsidP="001F038B">
      <w:pPr>
        <w:pStyle w:val="AMIABodyText"/>
        <w:spacing w:after="0"/>
        <w:rPr>
          <w:b/>
          <w:bCs/>
        </w:rPr>
      </w:pPr>
    </w:p>
    <w:p w14:paraId="6E365953" w14:textId="77777777" w:rsidR="001F038B" w:rsidRDefault="001F038B" w:rsidP="001F038B">
      <w:pPr>
        <w:pStyle w:val="AMIABodyText"/>
        <w:spacing w:after="0"/>
        <w:rPr>
          <w:b/>
          <w:bCs/>
        </w:rPr>
      </w:pPr>
    </w:p>
    <w:p w14:paraId="1D8A79A6" w14:textId="77777777" w:rsidR="001F038B" w:rsidRDefault="001F038B" w:rsidP="001F038B">
      <w:pPr>
        <w:pStyle w:val="AMIABodyText"/>
        <w:spacing w:after="0"/>
        <w:rPr>
          <w:b/>
          <w:bCs/>
        </w:rPr>
      </w:pPr>
    </w:p>
    <w:p w14:paraId="3F6F154E" w14:textId="77777777" w:rsidR="001F038B" w:rsidRDefault="001F038B" w:rsidP="001F038B">
      <w:pPr>
        <w:pStyle w:val="AMIABodyText"/>
        <w:spacing w:after="0"/>
        <w:rPr>
          <w:b/>
          <w:bCs/>
        </w:rPr>
      </w:pPr>
    </w:p>
    <w:p w14:paraId="7202BF31" w14:textId="77777777" w:rsidR="009A1361" w:rsidRDefault="009A1361" w:rsidP="001F038B">
      <w:pPr>
        <w:pStyle w:val="AMIABodyText"/>
        <w:spacing w:after="0"/>
        <w:rPr>
          <w:b/>
          <w:bCs/>
        </w:rPr>
      </w:pPr>
    </w:p>
    <w:p w14:paraId="3B99F716" w14:textId="23070240" w:rsidR="00DD74ED" w:rsidRPr="00770CD0" w:rsidRDefault="00DD74ED" w:rsidP="001F038B">
      <w:pPr>
        <w:pStyle w:val="AMIABodyText"/>
        <w:spacing w:after="0"/>
        <w:rPr>
          <w:b/>
          <w:bCs/>
        </w:rPr>
      </w:pPr>
      <w:r w:rsidRPr="00770CD0">
        <w:rPr>
          <w:b/>
          <w:bCs/>
        </w:rPr>
        <w:t>Conclusion</w:t>
      </w:r>
    </w:p>
    <w:p w14:paraId="5B88BA94" w14:textId="708FA5E4" w:rsidR="00770CD0" w:rsidRPr="00770CD0" w:rsidRDefault="003B4DF5" w:rsidP="00DD74ED">
      <w:pPr>
        <w:pStyle w:val="AMIABodyText"/>
        <w:spacing w:after="0"/>
      </w:pPr>
      <w:r w:rsidRPr="00770CD0">
        <w:t>Dissatisfaction with EHR usability and barriers have been proven to cause end-user task completion delays due to more clicks, navigating several menus, and inconsistent processe</w:t>
      </w:r>
      <w:r w:rsidR="0064585C">
        <w:t>s.</w:t>
      </w:r>
      <w:r w:rsidRPr="001F038B">
        <w:rPr>
          <w:rStyle w:val="AMIASuperscriptChar"/>
          <w:sz w:val="20"/>
        </w:rPr>
        <w:fldChar w:fldCharType="begin">
          <w:fldData xml:space="preserve">PEVuZE5vdGU+PENpdGU+PEF1dGhvcj5Sb21hbjwvQXV0aG9yPjxZZWFyPjIwMTc8L1llYXI+PFJl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</w:fldData>
        </w:fldChar>
      </w:r>
      <w:r w:rsidR="003161DA">
        <w:rPr>
          <w:rStyle w:val="AMIASuperscriptChar"/>
          <w:sz w:val="20"/>
        </w:rPr>
        <w:instrText xml:space="preserve"> ADDIN EN.CITE </w:instrText>
      </w:r>
      <w:r w:rsidR="003161DA">
        <w:rPr>
          <w:rStyle w:val="AMIASuperscriptChar"/>
          <w:sz w:val="20"/>
        </w:rPr>
        <w:fldChar w:fldCharType="begin">
          <w:fldData xml:space="preserve">PEVuZE5vdGU+PENpdGU+PEF1dGhvcj5Sb21hbjwvQXV0aG9yPjxZZWFyPjIwMTc8L1llYXI+PFJl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</w:fldData>
        </w:fldChar>
      </w:r>
      <w:r w:rsidR="003161DA">
        <w:rPr>
          <w:rStyle w:val="AMIASuperscriptChar"/>
          <w:sz w:val="20"/>
        </w:rPr>
        <w:instrText xml:space="preserve"> ADDIN EN.CITE.DATA </w:instrText>
      </w:r>
      <w:r w:rsidR="003161DA">
        <w:rPr>
          <w:rStyle w:val="AMIASuperscriptChar"/>
          <w:sz w:val="20"/>
        </w:rPr>
      </w:r>
      <w:r w:rsidR="003161DA">
        <w:rPr>
          <w:rStyle w:val="AMIASuperscriptChar"/>
          <w:sz w:val="20"/>
        </w:rPr>
        <w:fldChar w:fldCharType="end"/>
      </w:r>
      <w:r w:rsidRPr="001F038B">
        <w:rPr>
          <w:rStyle w:val="AMIASuperscriptChar"/>
          <w:sz w:val="20"/>
        </w:rPr>
      </w:r>
      <w:r w:rsidRPr="001F038B">
        <w:rPr>
          <w:rStyle w:val="AMIASuperscriptChar"/>
          <w:sz w:val="20"/>
        </w:rPr>
        <w:fldChar w:fldCharType="separate"/>
      </w:r>
      <w:r w:rsidR="003161DA">
        <w:rPr>
          <w:rStyle w:val="AMIASuperscriptChar"/>
          <w:noProof/>
          <w:sz w:val="20"/>
        </w:rPr>
        <w:t>(4)</w:t>
      </w:r>
      <w:r w:rsidRPr="001F038B">
        <w:rPr>
          <w:rStyle w:val="AMIASuperscriptChar"/>
          <w:sz w:val="20"/>
        </w:rPr>
        <w:fldChar w:fldCharType="end"/>
      </w:r>
      <w:r w:rsidR="00AF619C">
        <w:t xml:space="preserve"> </w:t>
      </w:r>
      <w:r w:rsidR="00DD74ED" w:rsidRPr="00770CD0">
        <w:t xml:space="preserve">IFT </w:t>
      </w:r>
      <w:r w:rsidRPr="00770CD0">
        <w:t xml:space="preserve">menu &amp; </w:t>
      </w:r>
      <w:r w:rsidR="00DD74ED" w:rsidRPr="00770CD0">
        <w:t>order-set </w:t>
      </w:r>
      <w:r w:rsidRPr="00770CD0">
        <w:t xml:space="preserve">creation, </w:t>
      </w:r>
      <w:r w:rsidR="00DD74ED" w:rsidRPr="00770CD0">
        <w:t xml:space="preserve">enhanced clinician task performance, improved end-user experience, eliminated improper consult </w:t>
      </w:r>
      <w:r w:rsidR="00FD4126" w:rsidRPr="00FD4126">
        <w:t>placement</w:t>
      </w:r>
      <w:r w:rsidR="00DD74ED" w:rsidRPr="00770CD0">
        <w:t>, and reduced IFT delays. Future analyses will evaluate the cost savings associated with decreased transfer delays and enhanced provider efficiency</w:t>
      </w:r>
      <w:r w:rsidR="006A46E5" w:rsidRPr="00770CD0">
        <w:t xml:space="preserve">. </w:t>
      </w:r>
    </w:p>
    <w:p w14:paraId="44D29B73" w14:textId="77777777" w:rsidR="003161DA" w:rsidRPr="003161DA" w:rsidRDefault="00DD74ED" w:rsidP="003161DA">
      <w:pPr>
        <w:pStyle w:val="EndNoteBibliography"/>
        <w:rPr>
          <w:noProof/>
        </w:rPr>
      </w:pPr>
      <w:r w:rsidRPr="003161DA">
        <w:rPr>
          <w:b/>
        </w:rPr>
        <w:t>References:</w:t>
      </w:r>
      <w:r w:rsidR="007E0B7A" w:rsidRPr="00770CD0">
        <w:rPr>
          <w:bCs/>
        </w:rPr>
        <w:br/>
      </w:r>
      <w:r w:rsidRPr="00770CD0">
        <w:rPr>
          <w:bCs/>
        </w:rPr>
        <w:t xml:space="preserve"> </w:t>
      </w:r>
      <w:r w:rsidR="007E0B7A" w:rsidRPr="00770CD0">
        <w:fldChar w:fldCharType="begin"/>
      </w:r>
      <w:r w:rsidR="007E0B7A" w:rsidRPr="00770CD0">
        <w:instrText xml:space="preserve"> ADDIN EN.REFLIST </w:instrText>
      </w:r>
      <w:r w:rsidR="007E0B7A" w:rsidRPr="00770CD0">
        <w:fldChar w:fldCharType="separate"/>
      </w:r>
      <w:r w:rsidR="003161DA" w:rsidRPr="003161DA">
        <w:rPr>
          <w:noProof/>
        </w:rPr>
        <w:t>1.</w:t>
      </w:r>
      <w:r w:rsidR="003161DA" w:rsidRPr="003161DA">
        <w:rPr>
          <w:noProof/>
        </w:rPr>
        <w:tab/>
        <w:t>Myers V, Nolan B. Delays to Initiate Interfacility Transfer for Patients Transported by a Critical Care Transport Organization. Air Med J. 2021;40(6):436-40.</w:t>
      </w:r>
    </w:p>
    <w:p w14:paraId="121F0A3A" w14:textId="77777777" w:rsidR="003161DA" w:rsidRPr="003161DA" w:rsidRDefault="003161DA" w:rsidP="003161DA">
      <w:pPr>
        <w:pStyle w:val="EndNoteBibliography"/>
        <w:rPr>
          <w:noProof/>
        </w:rPr>
      </w:pPr>
      <w:r w:rsidRPr="003161DA">
        <w:rPr>
          <w:noProof/>
        </w:rPr>
        <w:t>2.</w:t>
      </w:r>
      <w:r w:rsidRPr="003161DA">
        <w:rPr>
          <w:noProof/>
        </w:rPr>
        <w:tab/>
        <w:t>Hernandez-Boussard T, Davies S, McDonald K, Wang NE. Interhospital Facility Transfers in the United States: A Nationwide Outcomes Study. J Patient Saf. 2017;13(4):187-91.</w:t>
      </w:r>
    </w:p>
    <w:p w14:paraId="38BC8353" w14:textId="77777777" w:rsidR="003161DA" w:rsidRPr="003161DA" w:rsidRDefault="003161DA" w:rsidP="003161DA">
      <w:pPr>
        <w:pStyle w:val="EndNoteBibliography"/>
        <w:rPr>
          <w:noProof/>
        </w:rPr>
      </w:pPr>
      <w:r w:rsidRPr="003161DA">
        <w:rPr>
          <w:noProof/>
        </w:rPr>
        <w:t>3.</w:t>
      </w:r>
      <w:r w:rsidRPr="003161DA">
        <w:rPr>
          <w:noProof/>
        </w:rPr>
        <w:tab/>
        <w:t>VHA Directive 1094 Inter-facility Transfer policy: Date of Issue: Jan 20.</w:t>
      </w:r>
    </w:p>
    <w:p w14:paraId="6B1AC5E7" w14:textId="77777777" w:rsidR="003161DA" w:rsidRPr="003161DA" w:rsidRDefault="003161DA" w:rsidP="003161DA">
      <w:pPr>
        <w:pStyle w:val="EndNoteBibliography"/>
        <w:rPr>
          <w:noProof/>
        </w:rPr>
      </w:pPr>
      <w:r w:rsidRPr="003161DA">
        <w:rPr>
          <w:noProof/>
        </w:rPr>
        <w:t>4.</w:t>
      </w:r>
      <w:r w:rsidRPr="003161DA">
        <w:rPr>
          <w:noProof/>
        </w:rPr>
        <w:tab/>
        <w:t>Roman LC, Ancker JS, Johnson SB, Senathirajah Y. Navigation in the electronic health record: A review of the safety and usability literature. J Biomed Inform. 2017;67:69-79.</w:t>
      </w:r>
    </w:p>
    <w:p w14:paraId="0C8C938C" w14:textId="7500C38C" w:rsidR="00E907B4" w:rsidRPr="007E0B7A" w:rsidRDefault="007E0B7A" w:rsidP="00B85A28">
      <w:pPr>
        <w:pStyle w:val="AMIAHeading"/>
        <w:spacing w:before="0" w:after="0"/>
        <w:rPr>
          <w:i/>
        </w:rPr>
        <w:sectPr w:rsidR="00E907B4" w:rsidRPr="007E0B7A" w:rsidSect="001F038B">
          <w:footerReference w:type="even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 w:rsidRPr="00770CD0">
        <w:fldChar w:fldCharType="end"/>
      </w:r>
    </w:p>
    <w:p w14:paraId="0805248D" w14:textId="65DABF04" w:rsidR="000876BD" w:rsidRDefault="000876BD" w:rsidP="00B85A28">
      <w:pPr>
        <w:jc w:val="both"/>
      </w:pPr>
    </w:p>
    <w:sectPr w:rsidR="000876BD" w:rsidSect="001F038B"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712ED" w14:textId="77777777" w:rsidR="00FF4FA5" w:rsidRDefault="00FF4FA5">
      <w:r>
        <w:separator/>
      </w:r>
    </w:p>
  </w:endnote>
  <w:endnote w:type="continuationSeparator" w:id="0">
    <w:p w14:paraId="442C1DAC" w14:textId="77777777" w:rsidR="00FF4FA5" w:rsidRDefault="00FF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A92DA" w14:textId="77777777" w:rsidR="000876BD" w:rsidRDefault="00880A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76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6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B08298" w14:textId="77777777" w:rsidR="000876BD" w:rsidRDefault="000876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CD618" w14:textId="77777777" w:rsidR="000876BD" w:rsidRDefault="000876BD">
    <w:pPr>
      <w:pStyle w:val="Footer"/>
      <w:framePr w:wrap="around" w:vAnchor="text" w:hAnchor="margin" w:xAlign="right" w:y="1"/>
      <w:rPr>
        <w:rStyle w:val="PageNumber"/>
      </w:rPr>
    </w:pPr>
  </w:p>
  <w:p w14:paraId="264E0D1E" w14:textId="77777777" w:rsidR="000876BD" w:rsidRDefault="00087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DD2E2" w14:textId="77777777" w:rsidR="00FF4FA5" w:rsidRDefault="00FF4FA5">
      <w:r>
        <w:separator/>
      </w:r>
    </w:p>
  </w:footnote>
  <w:footnote w:type="continuationSeparator" w:id="0">
    <w:p w14:paraId="4A0E8740" w14:textId="77777777" w:rsidR="00FF4FA5" w:rsidRDefault="00FF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7C8"/>
    <w:multiLevelType w:val="singleLevel"/>
    <w:tmpl w:val="B9C09148"/>
    <w:lvl w:ilvl="0">
      <w:start w:val="1"/>
      <w:numFmt w:val="decimal"/>
      <w:pStyle w:val="AMIAReferen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f9zxtazktxxtcezxdkx299mwxxxepszzs5x&quot;&gt;My EndNote Library&lt;record-ids&gt;&lt;item&gt;72&lt;/item&gt;&lt;item&gt;73&lt;/item&gt;&lt;item&gt;75&lt;/item&gt;&lt;item&gt;76&lt;/item&gt;&lt;/record-ids&gt;&lt;/item&gt;&lt;/Libraries&gt;"/>
  </w:docVars>
  <w:rsids>
    <w:rsidRoot w:val="001D5D81"/>
    <w:rsid w:val="00001FF6"/>
    <w:rsid w:val="00061121"/>
    <w:rsid w:val="00064A7D"/>
    <w:rsid w:val="00066181"/>
    <w:rsid w:val="000876BD"/>
    <w:rsid w:val="000A118A"/>
    <w:rsid w:val="000F41E2"/>
    <w:rsid w:val="00105776"/>
    <w:rsid w:val="00115DCA"/>
    <w:rsid w:val="00123B63"/>
    <w:rsid w:val="00151DE9"/>
    <w:rsid w:val="00152DBC"/>
    <w:rsid w:val="001A47CF"/>
    <w:rsid w:val="001C76E3"/>
    <w:rsid w:val="001D1567"/>
    <w:rsid w:val="001D1BCD"/>
    <w:rsid w:val="001D3422"/>
    <w:rsid w:val="001D5D81"/>
    <w:rsid w:val="001F038B"/>
    <w:rsid w:val="00217441"/>
    <w:rsid w:val="002B0EB8"/>
    <w:rsid w:val="002E02A1"/>
    <w:rsid w:val="00305A9B"/>
    <w:rsid w:val="003161DA"/>
    <w:rsid w:val="00322966"/>
    <w:rsid w:val="003256DE"/>
    <w:rsid w:val="0035275E"/>
    <w:rsid w:val="003A14D8"/>
    <w:rsid w:val="003A5AD2"/>
    <w:rsid w:val="003B0234"/>
    <w:rsid w:val="003B4DF5"/>
    <w:rsid w:val="003C0115"/>
    <w:rsid w:val="003C6810"/>
    <w:rsid w:val="003C6BE4"/>
    <w:rsid w:val="003D19F4"/>
    <w:rsid w:val="003D5748"/>
    <w:rsid w:val="004019EA"/>
    <w:rsid w:val="00421731"/>
    <w:rsid w:val="004464BE"/>
    <w:rsid w:val="00447D9D"/>
    <w:rsid w:val="004D08B6"/>
    <w:rsid w:val="004E7A8A"/>
    <w:rsid w:val="00500BD7"/>
    <w:rsid w:val="0053428D"/>
    <w:rsid w:val="00556080"/>
    <w:rsid w:val="00590340"/>
    <w:rsid w:val="005B0F09"/>
    <w:rsid w:val="005E0F74"/>
    <w:rsid w:val="00600255"/>
    <w:rsid w:val="006160E8"/>
    <w:rsid w:val="00636609"/>
    <w:rsid w:val="0064585C"/>
    <w:rsid w:val="0069458E"/>
    <w:rsid w:val="00696DA5"/>
    <w:rsid w:val="006A0A8B"/>
    <w:rsid w:val="006A2950"/>
    <w:rsid w:val="006A46E5"/>
    <w:rsid w:val="006C79A8"/>
    <w:rsid w:val="006D0A2C"/>
    <w:rsid w:val="006E41ED"/>
    <w:rsid w:val="00725011"/>
    <w:rsid w:val="00726B30"/>
    <w:rsid w:val="00737F46"/>
    <w:rsid w:val="00741BE9"/>
    <w:rsid w:val="00744D65"/>
    <w:rsid w:val="00770CD0"/>
    <w:rsid w:val="00781CE1"/>
    <w:rsid w:val="00797839"/>
    <w:rsid w:val="007B0F22"/>
    <w:rsid w:val="007B4D7E"/>
    <w:rsid w:val="007C5BDF"/>
    <w:rsid w:val="007C6DD2"/>
    <w:rsid w:val="007D56DF"/>
    <w:rsid w:val="007D63B4"/>
    <w:rsid w:val="007E0B7A"/>
    <w:rsid w:val="007E534A"/>
    <w:rsid w:val="0081088E"/>
    <w:rsid w:val="008310C2"/>
    <w:rsid w:val="00842C12"/>
    <w:rsid w:val="00857029"/>
    <w:rsid w:val="008803D4"/>
    <w:rsid w:val="00880AE8"/>
    <w:rsid w:val="00883CF0"/>
    <w:rsid w:val="00885900"/>
    <w:rsid w:val="00887953"/>
    <w:rsid w:val="00895E92"/>
    <w:rsid w:val="008A2E55"/>
    <w:rsid w:val="008E6278"/>
    <w:rsid w:val="00907431"/>
    <w:rsid w:val="00910DC4"/>
    <w:rsid w:val="00924B71"/>
    <w:rsid w:val="00940944"/>
    <w:rsid w:val="00942E15"/>
    <w:rsid w:val="00956D31"/>
    <w:rsid w:val="009913B9"/>
    <w:rsid w:val="009943F6"/>
    <w:rsid w:val="009953BE"/>
    <w:rsid w:val="00995750"/>
    <w:rsid w:val="009A1361"/>
    <w:rsid w:val="009A55F9"/>
    <w:rsid w:val="009A7C7F"/>
    <w:rsid w:val="00A12050"/>
    <w:rsid w:val="00A14D63"/>
    <w:rsid w:val="00A226CA"/>
    <w:rsid w:val="00A32B73"/>
    <w:rsid w:val="00A33F82"/>
    <w:rsid w:val="00A50B38"/>
    <w:rsid w:val="00AB6C12"/>
    <w:rsid w:val="00AD1E6E"/>
    <w:rsid w:val="00AF2A0A"/>
    <w:rsid w:val="00AF619C"/>
    <w:rsid w:val="00B15F26"/>
    <w:rsid w:val="00B30D9A"/>
    <w:rsid w:val="00B31A1C"/>
    <w:rsid w:val="00B52D0E"/>
    <w:rsid w:val="00B547B7"/>
    <w:rsid w:val="00B85A28"/>
    <w:rsid w:val="00BA3C08"/>
    <w:rsid w:val="00BD30DA"/>
    <w:rsid w:val="00BD5CD0"/>
    <w:rsid w:val="00BE54EA"/>
    <w:rsid w:val="00C25098"/>
    <w:rsid w:val="00C435D4"/>
    <w:rsid w:val="00C46764"/>
    <w:rsid w:val="00CA1D90"/>
    <w:rsid w:val="00CA1EF1"/>
    <w:rsid w:val="00CA3A90"/>
    <w:rsid w:val="00CA52ED"/>
    <w:rsid w:val="00CD1CE4"/>
    <w:rsid w:val="00D33BA8"/>
    <w:rsid w:val="00D72377"/>
    <w:rsid w:val="00DA4570"/>
    <w:rsid w:val="00DC026C"/>
    <w:rsid w:val="00DC4B18"/>
    <w:rsid w:val="00DC6BAB"/>
    <w:rsid w:val="00DD74ED"/>
    <w:rsid w:val="00DF5E64"/>
    <w:rsid w:val="00E1053B"/>
    <w:rsid w:val="00E36CD4"/>
    <w:rsid w:val="00E40A62"/>
    <w:rsid w:val="00E700A6"/>
    <w:rsid w:val="00E81D55"/>
    <w:rsid w:val="00E83269"/>
    <w:rsid w:val="00E907B4"/>
    <w:rsid w:val="00E94709"/>
    <w:rsid w:val="00EA3C75"/>
    <w:rsid w:val="00EB5594"/>
    <w:rsid w:val="00EC29D2"/>
    <w:rsid w:val="00EC774E"/>
    <w:rsid w:val="00ED0387"/>
    <w:rsid w:val="00EE7E40"/>
    <w:rsid w:val="00EF10D5"/>
    <w:rsid w:val="00F17F2E"/>
    <w:rsid w:val="00F27E46"/>
    <w:rsid w:val="00F54424"/>
    <w:rsid w:val="00F66156"/>
    <w:rsid w:val="00F70CA6"/>
    <w:rsid w:val="00FA124C"/>
    <w:rsid w:val="00FD3E6F"/>
    <w:rsid w:val="00FD4126"/>
    <w:rsid w:val="00FD64C2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6925A1"/>
  <w15:docId w15:val="{EA744023-02A1-454A-9C5F-5D2E4125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3422"/>
  </w:style>
  <w:style w:type="paragraph" w:styleId="Heading1">
    <w:name w:val="heading 1"/>
    <w:basedOn w:val="Normal"/>
    <w:next w:val="BodyText"/>
    <w:link w:val="Heading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B0"/>
    <w:rPr>
      <w:rFonts w:ascii="Cambria" w:eastAsia="Malgun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B0"/>
    <w:rPr>
      <w:rFonts w:ascii="Cambria" w:eastAsia="Malgun Gothic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B0"/>
    <w:rPr>
      <w:rFonts w:ascii="Calibri" w:eastAsia="Malgun Gothic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D1CE4"/>
    <w:pPr>
      <w:suppressAutoHyphens/>
      <w:spacing w:after="1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3B0"/>
  </w:style>
  <w:style w:type="paragraph" w:styleId="Date">
    <w:name w:val="Date"/>
    <w:basedOn w:val="BodyText"/>
    <w:link w:val="DateChar"/>
    <w:uiPriority w:val="99"/>
    <w:rsid w:val="001D3422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B0"/>
  </w:style>
  <w:style w:type="character" w:styleId="EndnoteReference">
    <w:name w:val="endnote reference"/>
    <w:basedOn w:val="DefaultParagraphFont"/>
    <w:uiPriority w:val="99"/>
    <w:semiHidden/>
    <w:rsid w:val="001D34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3B0"/>
  </w:style>
  <w:style w:type="paragraph" w:customStyle="1" w:styleId="abstract">
    <w:name w:val="abstract"/>
    <w:basedOn w:val="BodyText"/>
    <w:rsid w:val="001D3422"/>
    <w:rPr>
      <w:i/>
    </w:rPr>
  </w:style>
  <w:style w:type="paragraph" w:customStyle="1" w:styleId="AMIABodyText">
    <w:name w:val="AMIA Body Text"/>
    <w:basedOn w:val="Normal"/>
    <w:link w:val="AMIABodyTextChar"/>
    <w:rsid w:val="003D5748"/>
    <w:pPr>
      <w:suppressAutoHyphens/>
      <w:spacing w:after="12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3B0"/>
  </w:style>
  <w:style w:type="paragraph" w:styleId="BodyTextIndent2">
    <w:name w:val="Body Text Indent 2"/>
    <w:basedOn w:val="Normal"/>
    <w:link w:val="BodyTextIndent2Char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3B0"/>
  </w:style>
  <w:style w:type="paragraph" w:styleId="BodyText3">
    <w:name w:val="Body Text 3"/>
    <w:basedOn w:val="Normal"/>
    <w:link w:val="BodyText3Char"/>
    <w:uiPriority w:val="99"/>
    <w:rsid w:val="001D3422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23B0"/>
    <w:rPr>
      <w:sz w:val="16"/>
      <w:szCs w:val="16"/>
    </w:rPr>
  </w:style>
  <w:style w:type="paragraph" w:styleId="List">
    <w:name w:val="List"/>
    <w:basedOn w:val="Normal"/>
    <w:uiPriority w:val="99"/>
    <w:rsid w:val="001D3422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B0"/>
  </w:style>
  <w:style w:type="character" w:styleId="PageNumber">
    <w:name w:val="page number"/>
    <w:basedOn w:val="DefaultParagraphFont"/>
    <w:uiPriority w:val="99"/>
    <w:rsid w:val="001D3422"/>
    <w:rPr>
      <w:rFonts w:cs="Times New Roman"/>
    </w:rPr>
  </w:style>
  <w:style w:type="paragraph" w:customStyle="1" w:styleId="AMIATitle">
    <w:name w:val="AMIA Title"/>
    <w:basedOn w:val="Normal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Normal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Normal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Normal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Normal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Normal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Normal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DefaultParagraphFont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B0"/>
  </w:style>
  <w:style w:type="paragraph" w:styleId="BalloonText">
    <w:name w:val="Balloon Text"/>
    <w:basedOn w:val="Normal"/>
    <w:link w:val="BalloonTextChar"/>
    <w:rsid w:val="006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9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F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2E"/>
  </w:style>
  <w:style w:type="character" w:customStyle="1" w:styleId="CommentTextChar">
    <w:name w:val="Comment Text Char"/>
    <w:basedOn w:val="DefaultParagraphFont"/>
    <w:link w:val="CommentText"/>
    <w:rsid w:val="00F17F2E"/>
  </w:style>
  <w:style w:type="paragraph" w:styleId="CommentSubject">
    <w:name w:val="annotation subject"/>
    <w:basedOn w:val="CommentText"/>
    <w:next w:val="CommentText"/>
    <w:link w:val="CommentSubjectChar"/>
    <w:rsid w:val="00F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F2E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DD74ED"/>
    <w:pPr>
      <w:jc w:val="center"/>
    </w:pPr>
  </w:style>
  <w:style w:type="character" w:customStyle="1" w:styleId="AMIABodyTextChar">
    <w:name w:val="AMIA Body Text Char"/>
    <w:basedOn w:val="DefaultParagraphFont"/>
    <w:link w:val="AMIABodyText"/>
    <w:rsid w:val="00DD74ED"/>
  </w:style>
  <w:style w:type="character" w:customStyle="1" w:styleId="EndNoteBibliographyTitleChar">
    <w:name w:val="EndNote Bibliography Title Char"/>
    <w:basedOn w:val="AMIABodyTextChar"/>
    <w:link w:val="EndNoteBibliographyTitle"/>
    <w:rsid w:val="00DD74ED"/>
  </w:style>
  <w:style w:type="paragraph" w:customStyle="1" w:styleId="EndNoteBibliography">
    <w:name w:val="EndNote Bibliography"/>
    <w:basedOn w:val="Normal"/>
    <w:link w:val="EndNoteBibliographyChar"/>
    <w:rsid w:val="00DD74ED"/>
    <w:pPr>
      <w:jc w:val="both"/>
    </w:pPr>
  </w:style>
  <w:style w:type="character" w:customStyle="1" w:styleId="EndNoteBibliographyChar">
    <w:name w:val="EndNote Bibliography Char"/>
    <w:basedOn w:val="AMIABodyTextChar"/>
    <w:link w:val="EndNoteBibliography"/>
    <w:rsid w:val="00DD74ED"/>
  </w:style>
  <w:style w:type="paragraph" w:styleId="Revision">
    <w:name w:val="Revision"/>
    <w:hidden/>
    <w:uiPriority w:val="99"/>
    <w:semiHidden/>
    <w:rsid w:val="00A22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1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jeff\Local%20Settings\Temporary%20Internet%20Files\OLKDA\AMIA%20Submis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Settings\jeff\Local Settings\Temporary Internet Files\OLKDA\AMIA Submission template.dot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of the Article</vt:lpstr>
    </vt:vector>
  </TitlesOfParts>
  <Company>Partners HealthCare System, Inc.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of the Article</dc:title>
  <dc:creator>Jeff Williamson</dc:creator>
  <cp:lastModifiedBy>Microsoft Office User</cp:lastModifiedBy>
  <cp:revision>2</cp:revision>
  <cp:lastPrinted>2022-03-09T23:57:00Z</cp:lastPrinted>
  <dcterms:created xsi:type="dcterms:W3CDTF">2022-04-26T15:01:00Z</dcterms:created>
  <dcterms:modified xsi:type="dcterms:W3CDTF">2022-04-26T15:01:00Z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